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CHAMAMENTO PÚBLICO Nº 07/2026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left="-566.9291338582677" w:right="-536.9291338582661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REDE MUNICIPAL DE PONTOS DE CULTURA DE BENTO GONÇALVES/RS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FOMENTO A PROJETOS CONTINUADOS DE PONTOS DE CULTURA</w:t>
      </w:r>
    </w:p>
    <w:p w:rsidR="00000000" w:rsidDel="00000000" w:rsidP="00000000" w:rsidRDefault="00000000" w:rsidRPr="00000000" w14:paraId="00000007">
      <w:pPr>
        <w:shd w:fill="ffffff" w:val="clear"/>
        <w:ind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center" w:leader="none" w:pos="0"/>
        </w:tabs>
        <w:spacing w:after="120" w:before="120" w:lineRule="auto"/>
        <w:ind w:firstLine="0"/>
        <w:jc w:val="center"/>
        <w:rPr>
          <w:rFonts w:ascii="Calibri" w:cs="Calibri" w:eastAsia="Calibri" w:hAnsi="Calibri"/>
          <w:b w:val="1"/>
          <w:bCs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ANEXO 09 - DECLARAÇÃO CONJUNTA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67"/>
        </w:tabs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ff0000"/>
          <w:sz w:val="24"/>
          <w:szCs w:val="24"/>
          <w:rtl w:val="0"/>
        </w:rPr>
        <w:t xml:space="preserve">(Rubricar todas as páginas)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pessoa responsável pela candidatura)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residente e domiciliado(a) em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(endereço residencial do dirigente)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portador(a) da Carteira de Identidade n° ___________, CPF n° ___________, responsável pela inscrição da entidade cultural ___________________________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(nome da entidade cultural)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CNPJ nº ___________________________, no referido Edital de Seleção para ampliação e fortalecimento da Política Nacional de Cultura Viva,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DECLARO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as informações e documentos apresentados neste processo seletivo são de minha inteira responsabilidade, sendo a expressão da verdade;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Autorizar o Município de Bento Gonçalves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Não me enquadrar em quaisquer das vedações dispostas no Edital de Seleção, principalmente quanto ao disposto em seu item 4 (“quem não pode participar do edital”);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Concordar em receber visita técnica e/ou participar de reunião, com a missão de acompanhar e monitorar a execução e os resultados Termo de Compromisso Cultural, caso a Secretaria Municipal de Cultura e o Ministério da Cultura considerem apropriado;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existir plágio no projeto selecionado, assumindo integralmente a autoria e respondendo exclusivamente por eventuais acusações ou pleitos nesse sentido;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Não ter projetos vigentes ou em análise com o mesmo objeto e/ou despesas semelhantes às pleiteadas nesta proposta em qualquer esfera do governo;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espaço físico durante e após o período de realização das ações previstas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Realizar todas as intervenções e serviços que se fizerem necessários para promover a acessibilidade cultural e a inclusão de pessoas com mobilidade reduzida e pessoas com deficiência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durante as ações propostas, garantindo ainda exibições audiovisuais, se houver, que disponham de recursos de legendagem descritiva, audiodescrição e LIBRAS – Língua Brasileira de Sinais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Disponibilizar livre acesso à população beneficiada para todas as ações propostas 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hd w:fill="ffffff" w:val="clear"/>
        <w:tabs>
          <w:tab w:val="left" w:leader="none" w:pos="567"/>
        </w:tabs>
        <w:spacing w:after="120" w:before="240" w:line="240" w:lineRule="auto"/>
        <w:ind w:left="0" w:hanging="2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Estar ciente que: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Os bens patrimoniais adquiridos deverão ser gravados com cláusula de inalienabilidade enquanto viger a parceria, sendo que, na hipótese de extinção da entidade cultural durante a vigência do presente instrumento, a propriedade de tais ben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 será transferida à Administração Pública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Quando da extinção da parceria, os bens remanescentes permanecerão na propriedade da entidade cultural, na medida em que os bens serão úteis à continuidade da execução de ações de interesse social pela organização; e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240" w:lineRule="auto"/>
        <w:ind w:left="0" w:hanging="2"/>
        <w:jc w:val="both"/>
        <w:rPr>
          <w:rFonts w:ascii="Calibri" w:cs="Calibri" w:eastAsia="Calibri" w:hAnsi="Calibri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Na hipótese de extinção da entidade cultural após a vigência do instrumento celebrado, será aplicada Cláusula do Estatuto Social.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das regras de democratização dos recursos: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  <w:color w:val="555555"/>
        </w:rPr>
      </w:pPr>
      <w:hyperlink r:id="rId7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1155cc"/>
            <w:u w:val="single"/>
            <w:rtl w:val="0"/>
          </w:rPr>
          <w:t xml:space="preserve">Instrução Normativa MinC nº  1/2015, art. 21, </w:t>
        </w:r>
      </w:hyperlink>
      <w:hyperlink r:id="rId8">
        <w:r w:rsidDel="00000000" w:rsidR="00000000" w:rsidRPr="00000000">
          <w:rPr>
            <w:rFonts w:ascii="Calibri" w:cs="Calibri" w:eastAsia="Calibri" w:hAnsi="Calibri"/>
            <w:i w:val="1"/>
            <w:iCs w:val="1"/>
            <w:color w:val="1155cc"/>
            <w:highlight w:val="white"/>
            <w:u w:val="single"/>
            <w:rtl w:val="0"/>
          </w:rPr>
          <w:t xml:space="preserve">§ 3º: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 - uma mesma entidade cultural não poderá ter dois ou mais TCC vigentes simultaneamente para execução de projetos da PNCV, mesmo que selecionada em editais diferentes ou de Entes Federados distintos,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salvo quando:</w:t>
      </w:r>
    </w:p>
    <w:p w:rsidR="00000000" w:rsidDel="00000000" w:rsidP="00000000" w:rsidRDefault="00000000" w:rsidRPr="00000000" w14:paraId="0000001D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no ato de formalização do segundo TCC,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 entidade não tenha parcelas para receber e já tenha executado mais da metade do cronograma relacionado à última parcela do TCC ativo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 ou</w:t>
      </w:r>
    </w:p>
    <w:p w:rsidR="00000000" w:rsidDel="00000000" w:rsidP="00000000" w:rsidRDefault="00000000" w:rsidRPr="00000000" w14:paraId="0000001E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quando uma mesma entidade celebre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um TCC para fomento a um projeto de Ponto de Cultura e um TCC para fomento a um projeto de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;</w:t>
      </w:r>
    </w:p>
    <w:p w:rsidR="00000000" w:rsidDel="00000000" w:rsidP="00000000" w:rsidRDefault="00000000" w:rsidRPr="00000000" w14:paraId="0000001F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II - uma mesma entidade não poderá celebrar TCC e receber prêmios no âmbito da PNCV em um período de 12 meses, mesmo que selecionada em editais diferentes ou de Entes Federados distintos,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salvo quando:</w:t>
      </w:r>
    </w:p>
    <w:p w:rsidR="00000000" w:rsidDel="00000000" w:rsidP="00000000" w:rsidRDefault="00000000" w:rsidRPr="00000000" w14:paraId="00000020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a) já tenha sido premiada em edital da PNCV nos últimos 12 meses e,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 posteriormente, seja selecionada em edital de fomento a projeto continuado de Ponto ou Pontão de Cultura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, para celebração de TCC;</w:t>
      </w:r>
    </w:p>
    <w:p w:rsidR="00000000" w:rsidDel="00000000" w:rsidP="00000000" w:rsidRDefault="00000000" w:rsidRPr="00000000" w14:paraId="0000002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b)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no ato de premiação, a entidade não tenha parcelas para receber e já tenha executado mais da metade do cronograma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relacionado à última parcela do TCC ativo; ou</w:t>
      </w:r>
    </w:p>
    <w:p w:rsidR="00000000" w:rsidDel="00000000" w:rsidP="00000000" w:rsidRDefault="00000000" w:rsidRPr="00000000" w14:paraId="0000002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tabs>
          <w:tab w:val="left" w:leader="none" w:pos="567"/>
          <w:tab w:val="left" w:leader="none" w:pos="1134"/>
        </w:tabs>
        <w:spacing w:after="0" w:line="240" w:lineRule="auto"/>
        <w:ind w:left="720" w:firstLine="0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c) em um mesmo edital de premiação da PNCV, após selecionadas todas as entidades concorrentes que não tenham firmado TCC nos últimos 12 meses,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ainda existam vagas disponíveis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"/>
          <w:tab w:val="left" w:leader="none" w:pos="1134"/>
        </w:tabs>
        <w:spacing w:after="120" w:before="240" w:line="240" w:lineRule="auto"/>
        <w:ind w:left="0" w:hanging="2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20" w:before="240"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_____________________,________/_______/ _______.</w:t>
      </w:r>
    </w:p>
    <w:p w:rsidR="00000000" w:rsidDel="00000000" w:rsidP="00000000" w:rsidRDefault="00000000" w:rsidRPr="00000000" w14:paraId="00000025">
      <w:pPr>
        <w:widowControl w:val="0"/>
        <w:spacing w:after="120" w:before="240" w:lineRule="auto"/>
        <w:ind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26">
      <w:pPr>
        <w:spacing w:after="120" w:before="240" w:line="240" w:lineRule="auto"/>
        <w:ind w:left="0" w:hanging="2"/>
        <w:jc w:val="center"/>
        <w:rPr>
          <w:rFonts w:ascii="Calibri" w:cs="Calibri" w:eastAsia="Calibri" w:hAnsi="Calibri"/>
          <w:color w:val="33333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7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8">
      <w:pPr>
        <w:spacing w:line="240" w:lineRule="auto"/>
        <w:ind w:left="0" w:hanging="2"/>
        <w:jc w:val="center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029">
      <w:pPr>
        <w:spacing w:line="240" w:lineRule="auto"/>
        <w:ind w:left="0" w:hanging="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851" w:top="851" w:left="850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bCs w:val="1"/>
        <w:color w:val="00000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tabs>
        <w:tab w:val="center" w:leader="none" w:pos="0"/>
      </w:tabs>
      <w:ind w:left="1440" w:firstLine="0"/>
      <w:jc w:val="both"/>
      <w:rPr>
        <w:rFonts w:ascii="Calibri" w:cs="Calibri" w:eastAsia="Calibri" w:hAnsi="Calibri"/>
        <w:i w:val="1"/>
        <w:iCs w:val="1"/>
        <w:color w:val="ff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4086225</wp:posOffset>
          </wp:positionH>
          <wp:positionV relativeFrom="paragraph">
            <wp:posOffset>28387</wp:posOffset>
          </wp:positionV>
          <wp:extent cx="882015" cy="739140"/>
          <wp:effectExtent b="0" l="0" r="0" t="0"/>
          <wp:wrapNone/>
          <wp:docPr descr="Fundo preto com letras brancas&#10;&#10;O conteúdo gerado por IA pode estar incorreto." id="12" name="image1.png"/>
          <a:graphic>
            <a:graphicData uri="http://schemas.openxmlformats.org/drawingml/2006/picture">
              <pic:pic>
                <pic:nvPicPr>
                  <pic:cNvPr descr="Fundo preto com letras brancas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64784" r="20738" t="91487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5200650</wp:posOffset>
          </wp:positionH>
          <wp:positionV relativeFrom="paragraph">
            <wp:posOffset>61725</wp:posOffset>
          </wp:positionV>
          <wp:extent cx="1153265" cy="681903"/>
          <wp:effectExtent b="0" l="0" r="0" t="0"/>
          <wp:wrapNone/>
          <wp:docPr descr="Logotipo&#10;&#10;O conteúdo gerado por IA pode estar incorreto." id="17" name="image3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33150</wp:posOffset>
          </wp:positionV>
          <wp:extent cx="1201567" cy="624078"/>
          <wp:effectExtent b="0" l="0" r="0" t="0"/>
          <wp:wrapNone/>
          <wp:docPr descr="Logotipo&#10;&#10;O conteúdo gerado por IA pode estar incorreto." id="16" name="image2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2877982</wp:posOffset>
          </wp:positionH>
          <wp:positionV relativeFrom="paragraph">
            <wp:posOffset>142687</wp:posOffset>
          </wp:positionV>
          <wp:extent cx="723066" cy="509001"/>
          <wp:effectExtent b="0" l="0" r="0" t="0"/>
          <wp:wrapNone/>
          <wp:docPr descr="Logotipo&#10;&#10;O conteúdo gerado por IA pode estar incorreto." id="14" name="image4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spacing w:line="276" w:lineRule="auto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</w:t>
    </w: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453209" cy="530586"/>
          <wp:effectExtent b="0" l="0" r="0" t="0"/>
          <wp:docPr id="15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5"/>
                  <a:srcRect b="0" l="0" r="0" t="12992"/>
                  <a:stretch>
                    <a:fillRect/>
                  </a:stretch>
                </pic:blipFill>
                <pic:spPr>
                  <a:xfrm>
                    <a:off x="0" y="0"/>
                    <a:ext cx="453209" cy="53058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right"/>
      <w:rPr>
        <w:rFonts w:ascii="Calibri" w:cs="Calibri" w:eastAsia="Calibri" w:hAnsi="Calibri"/>
        <w:b w:val="1"/>
        <w:bCs w:val="1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16"/>
        <w:szCs w:val="16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76" w:lineRule="auto"/>
      <w:ind w:hanging="450"/>
      <w:jc w:val="both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186751" cy="853881"/>
          <wp:effectExtent b="0" l="0" r="0" t="0"/>
          <wp:docPr id="1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bCs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Normal1" w:customStyle="1">
    <w:name w:val="Normal1"/>
    <w:pPr>
      <w:spacing w:after="200" w:line="276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Cabealho">
    <w:name w:val="header"/>
    <w:basedOn w:val="Normal"/>
    <w:link w:val="Cabealho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243D3A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cultura/pt-br/acesso-a-informacao/legislacao-e-normativas/instrucao-normativa-minc-no-1-de-7-de-abril-de-2015-1" TargetMode="External"/><Relationship Id="rId8" Type="http://schemas.openxmlformats.org/officeDocument/2006/relationships/hyperlink" Target="https://www.gov.br/cultura/pt-br/acesso-a-informacao/legislacao-e-normativas/instrucao-normativa-minc-no-1-de-7-de-abril-de-2015-1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png"/><Relationship Id="rId4" Type="http://schemas.openxmlformats.org/officeDocument/2006/relationships/image" Target="media/image4.png"/><Relationship Id="rId5" Type="http://schemas.openxmlformats.org/officeDocument/2006/relationships/image" Target="media/image6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8e6nGMVf5W3xJxCQOhLSSAzAA==">CgMxLjA4AHIhMTN2bU5Ca3FSQWxvRVpUb1VocHNZcWZXNzBjcGJRZTFB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2023-08-28T01:24:00Z</dcterms:created>
  <dc:creator>Iara da Costa Zannon</dc:creator>
</cp:coreProperties>
</file>